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64" w:rsidRDefault="00A2131B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>
        <w:rPr>
          <w:noProof/>
          <w:lang w:val="en-US"/>
        </w:rPr>
        <w:drawing>
          <wp:inline distT="0" distB="0" distL="0" distR="0">
            <wp:extent cx="2272030" cy="1029335"/>
            <wp:effectExtent l="0" t="0" r="0" b="0"/>
            <wp:docPr id="1" name="Image 1" descr="G:\logo SP-MA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:\logo SP-MAB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364" w:rsidRDefault="00A2131B">
      <w:pPr>
        <w:rPr>
          <w:rFonts w:ascii="Arial" w:hAnsi="Arial" w:cs="Arial"/>
          <w:b/>
          <w:sz w:val="40"/>
          <w:szCs w:val="40"/>
          <w:u w:val="single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                                          </w:t>
      </w:r>
      <w:r>
        <w:rPr>
          <w:rFonts w:ascii="Arial" w:hAnsi="Arial" w:cs="Arial"/>
          <w:b/>
          <w:sz w:val="40"/>
          <w:szCs w:val="40"/>
          <w:u w:val="single"/>
          <w:lang w:val="fr-FR"/>
        </w:rPr>
        <w:t>Rencontre d’échanges</w:t>
      </w:r>
    </w:p>
    <w:tbl>
      <w:tblPr>
        <w:tblStyle w:val="Grilledutableau"/>
        <w:tblW w:w="10901" w:type="dxa"/>
        <w:tblInd w:w="-856" w:type="dxa"/>
        <w:tblLook w:val="04A0" w:firstRow="1" w:lastRow="0" w:firstColumn="1" w:lastColumn="0" w:noHBand="0" w:noVBand="1"/>
      </w:tblPr>
      <w:tblGrid>
        <w:gridCol w:w="7088"/>
        <w:gridCol w:w="3813"/>
      </w:tblGrid>
      <w:tr w:rsidR="00E16364" w:rsidRPr="00031B9D">
        <w:trPr>
          <w:trHeight w:val="1426"/>
        </w:trPr>
        <w:tc>
          <w:tcPr>
            <w:tcW w:w="7087" w:type="dxa"/>
            <w:shd w:val="clear" w:color="auto" w:fill="auto"/>
          </w:tcPr>
          <w:p w:rsidR="00E16364" w:rsidRDefault="00A213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Structure organisatrice 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Open Burkina (OSC)</w:t>
            </w:r>
          </w:p>
        </w:tc>
        <w:tc>
          <w:tcPr>
            <w:tcW w:w="3813" w:type="dxa"/>
            <w:shd w:val="clear" w:color="auto" w:fill="auto"/>
          </w:tcPr>
          <w:p w:rsidR="00E16364" w:rsidRDefault="00A21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Détails de l’activité : </w:t>
            </w:r>
          </w:p>
          <w:p w:rsidR="00E16364" w:rsidRDefault="005233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</w:t>
            </w:r>
            <w:r w:rsidR="00A2131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 rencontre avait pour objet un échange informelle sur le processus PGO au Burkina</w:t>
            </w:r>
            <w:bookmarkStart w:id="0" w:name="_GoBack"/>
            <w:bookmarkEnd w:id="0"/>
          </w:p>
        </w:tc>
      </w:tr>
      <w:tr w:rsidR="00E16364">
        <w:trPr>
          <w:trHeight w:val="872"/>
        </w:trPr>
        <w:tc>
          <w:tcPr>
            <w:tcW w:w="7087" w:type="dxa"/>
            <w:shd w:val="clear" w:color="auto" w:fill="auto"/>
          </w:tcPr>
          <w:p w:rsidR="00E16364" w:rsidRDefault="00A21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Lieu de déroulement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Salle de réunion du 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P-MABG/ Ouagadougou</w:t>
            </w:r>
          </w:p>
        </w:tc>
        <w:tc>
          <w:tcPr>
            <w:tcW w:w="3813" w:type="dxa"/>
            <w:shd w:val="clear" w:color="auto" w:fill="auto"/>
          </w:tcPr>
          <w:p w:rsidR="00E16364" w:rsidRDefault="00A21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Participants: </w:t>
            </w:r>
          </w:p>
          <w:p w:rsidR="00E16364" w:rsidRDefault="00A2131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Tinto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Idriss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(OSC), </w:t>
            </w:r>
          </w:p>
          <w:p w:rsidR="00E16364" w:rsidRDefault="00A2131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LINGANI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Malick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(OSC)</w:t>
            </w:r>
          </w:p>
          <w:p w:rsidR="00E16364" w:rsidRDefault="00A2131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TAPSOBA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Cédric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(PAGOF), </w:t>
            </w:r>
          </w:p>
          <w:p w:rsidR="00E16364" w:rsidRDefault="00A2131B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BARRY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Sidi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(SP-MABG)</w:t>
            </w:r>
          </w:p>
          <w:p w:rsidR="00E16364" w:rsidRDefault="00E16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6364">
        <w:trPr>
          <w:trHeight w:val="376"/>
        </w:trPr>
        <w:tc>
          <w:tcPr>
            <w:tcW w:w="7087" w:type="dxa"/>
            <w:shd w:val="clear" w:color="auto" w:fill="auto"/>
          </w:tcPr>
          <w:p w:rsidR="00E16364" w:rsidRDefault="00A21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Date 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Aout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3813" w:type="dxa"/>
            <w:shd w:val="clear" w:color="auto" w:fill="auto"/>
          </w:tcPr>
          <w:p w:rsidR="00E16364" w:rsidRDefault="00A21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Rapporteur : BARRY Sidi </w:t>
            </w:r>
          </w:p>
        </w:tc>
      </w:tr>
      <w:tr w:rsidR="00E16364">
        <w:trPr>
          <w:trHeight w:val="3431"/>
        </w:trPr>
        <w:tc>
          <w:tcPr>
            <w:tcW w:w="10900" w:type="dxa"/>
            <w:gridSpan w:val="2"/>
            <w:shd w:val="clear" w:color="auto" w:fill="auto"/>
          </w:tcPr>
          <w:p w:rsidR="00E16364" w:rsidRDefault="00A213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fr-FR"/>
              </w:rPr>
              <w:t>Points inscrits à l’ordre du jour :</w:t>
            </w:r>
          </w:p>
          <w:p w:rsidR="00E16364" w:rsidRDefault="00A2131B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Prochaines étapes PGO</w:t>
            </w:r>
          </w:p>
          <w:p w:rsidR="00E16364" w:rsidRDefault="00A2131B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Arrêté comité de suivi évaluation du PGO</w:t>
            </w:r>
          </w:p>
          <w:p w:rsidR="00E16364" w:rsidRDefault="00A2131B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Animation du site PGO</w:t>
            </w:r>
          </w:p>
          <w:p w:rsidR="00E16364" w:rsidRDefault="00A2131B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Mail de </w:t>
            </w:r>
            <w:proofErr w:type="spellStart"/>
            <w:r>
              <w:rPr>
                <w:b/>
                <w:lang w:val="fr-FR"/>
              </w:rPr>
              <w:t>Ngom</w:t>
            </w:r>
            <w:proofErr w:type="spellEnd"/>
            <w:r>
              <w:rPr>
                <w:b/>
                <w:lang w:val="fr-FR"/>
              </w:rPr>
              <w:t xml:space="preserve"> sur la baisse du score du Burkina Faso et la lettre adressée au Ministre de la Fonction publique par le Comité Directeur du PGO</w:t>
            </w:r>
          </w:p>
          <w:p w:rsidR="00E16364" w:rsidRDefault="00A2131B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Divers (information)</w:t>
            </w:r>
          </w:p>
        </w:tc>
      </w:tr>
      <w:tr w:rsidR="00E16364" w:rsidRPr="00031B9D">
        <w:trPr>
          <w:trHeight w:val="2542"/>
        </w:trPr>
        <w:tc>
          <w:tcPr>
            <w:tcW w:w="10900" w:type="dxa"/>
            <w:gridSpan w:val="2"/>
            <w:shd w:val="clear" w:color="auto" w:fill="auto"/>
          </w:tcPr>
          <w:p w:rsidR="00E16364" w:rsidRDefault="00A213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Discutions sur les points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inscrits à l’ordre du jour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:</w:t>
            </w:r>
          </w:p>
          <w:p w:rsidR="00E16364" w:rsidRDefault="00A2131B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sz w:val="24"/>
                <w:szCs w:val="24"/>
                <w:lang w:val="fr-FR"/>
              </w:rPr>
            </w:pPr>
            <w:r>
              <w:rPr>
                <w:b/>
                <w:lang w:val="fr-FR"/>
              </w:rPr>
              <w:t>Pour les prochaines étapes PGO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il s’est agi d’échanger sur les activités en cours telles que : </w:t>
            </w:r>
            <w:r>
              <w:rPr>
                <w:lang w:val="fr-FR"/>
              </w:rPr>
              <w:t xml:space="preserve">les activités restantes du Trust </w:t>
            </w:r>
            <w:proofErr w:type="spellStart"/>
            <w:r>
              <w:rPr>
                <w:lang w:val="fr-FR"/>
              </w:rPr>
              <w:t>Fund</w:t>
            </w:r>
            <w:proofErr w:type="spellEnd"/>
            <w:r>
              <w:rPr>
                <w:lang w:val="fr-FR"/>
              </w:rPr>
              <w:t xml:space="preserve"> (émissions télé et ateliers thématiques à l’endroit des membres du MSF). </w:t>
            </w:r>
          </w:p>
          <w:p w:rsidR="00E16364" w:rsidRDefault="00A2131B">
            <w:pPr>
              <w:pStyle w:val="Paragraphedeliste"/>
              <w:spacing w:after="0"/>
              <w:jc w:val="both"/>
              <w:rPr>
                <w:sz w:val="24"/>
                <w:szCs w:val="24"/>
                <w:lang w:val="fr-FR"/>
              </w:rPr>
            </w:pPr>
            <w:r>
              <w:rPr>
                <w:lang w:val="fr-FR"/>
              </w:rPr>
              <w:t>Tinto a rassuré sur</w:t>
            </w:r>
            <w:r>
              <w:rPr>
                <w:lang w:val="fr-FR"/>
              </w:rPr>
              <w:t xml:space="preserve"> la volonté des acteurs de la société civile à mener dans les meilleurs délais ces activités.</w:t>
            </w:r>
          </w:p>
          <w:p w:rsidR="00E16364" w:rsidRDefault="00A2131B">
            <w:pPr>
              <w:pStyle w:val="Paragraphedeliste"/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Pour les activités programmées dans le Plan activités annuel, le PAGOF a informé les participants sur la prolongation du programme jusqu’en décembre 2021 avec l’o</w:t>
            </w:r>
            <w:r>
              <w:rPr>
                <w:lang w:val="fr-FR"/>
              </w:rPr>
              <w:t xml:space="preserve">rganisation du séminaire régional à Ouagadougou au premier semestre 2021. </w:t>
            </w:r>
          </w:p>
          <w:p w:rsidR="00E16364" w:rsidRDefault="00A2131B">
            <w:pPr>
              <w:pStyle w:val="Paragraphedeliste"/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Il a souhaité l’accélération des activités liées au lancement du PAN2 et les tournées régionales. </w:t>
            </w:r>
          </w:p>
          <w:p w:rsidR="00E16364" w:rsidRDefault="00A2131B">
            <w:pPr>
              <w:pStyle w:val="Paragraphedeliste"/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 ce Sujet Barry a estimé que les TDR sont déjà finalisés pour ces 2 activités et </w:t>
            </w:r>
            <w:r>
              <w:rPr>
                <w:lang w:val="fr-FR"/>
              </w:rPr>
              <w:t xml:space="preserve">que la question de la prise en charge des communicateurs pendant les tournées n’était pas encore tranchée. </w:t>
            </w:r>
          </w:p>
          <w:p w:rsidR="00E16364" w:rsidRDefault="00A2131B">
            <w:pPr>
              <w:pStyle w:val="Paragraphedeliste"/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>Le PAGOF a réitéré son engagement à prendre en charge la communication, l’hébergement des facilitateurs, la location des salles, la restauration, et</w:t>
            </w:r>
            <w:r>
              <w:rPr>
                <w:lang w:val="fr-FR"/>
              </w:rPr>
              <w:t>c. Mais concernant la prise en charge des communications, la ligne ne serait pas éligible aux procédures du programme.</w:t>
            </w:r>
          </w:p>
          <w:p w:rsidR="00E16364" w:rsidRDefault="00A2131B">
            <w:pPr>
              <w:pStyle w:val="Paragraphedeliste"/>
              <w:spacing w:after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 trust </w:t>
            </w:r>
            <w:proofErr w:type="spellStart"/>
            <w:r>
              <w:rPr>
                <w:lang w:val="fr-FR"/>
              </w:rPr>
              <w:t>Fund</w:t>
            </w:r>
            <w:proofErr w:type="spellEnd"/>
            <w:r>
              <w:rPr>
                <w:lang w:val="fr-FR"/>
              </w:rPr>
              <w:t xml:space="preserve"> également a émis des inquiétudes quant à la possibilité de prendre totalement en charge cette ligne évaluée à plus de 2 mil</w:t>
            </w:r>
            <w:r>
              <w:rPr>
                <w:lang w:val="fr-FR"/>
              </w:rPr>
              <w:t>lions au regard de l’insuffisance de ressources.</w:t>
            </w:r>
          </w:p>
          <w:p w:rsidR="00E16364" w:rsidRDefault="00A2131B">
            <w:pPr>
              <w:pStyle w:val="Paragraphedeliste"/>
              <w:spacing w:after="0"/>
              <w:rPr>
                <w:lang w:val="fr-FR"/>
              </w:rPr>
            </w:pPr>
            <w:r>
              <w:rPr>
                <w:lang w:val="fr-FR"/>
              </w:rPr>
              <w:t>Barry a souhaité qu’une solution soit trouvée afin de motiver les facilitateurs à travers la prise en charge des communications qui seront faites par ces derniers.</w:t>
            </w:r>
          </w:p>
          <w:p w:rsidR="00E16364" w:rsidRDefault="00A2131B">
            <w:pPr>
              <w:spacing w:after="0"/>
              <w:ind w:left="360"/>
              <w:rPr>
                <w:lang w:val="fr-FR"/>
              </w:rPr>
            </w:pPr>
            <w:r>
              <w:rPr>
                <w:lang w:val="fr-FR"/>
              </w:rPr>
              <w:lastRenderedPageBreak/>
              <w:t>Concernant la cérémonie de lancement du PAN</w:t>
            </w:r>
            <w:r>
              <w:rPr>
                <w:lang w:val="fr-FR"/>
              </w:rPr>
              <w:t>2, il a été convenu de préparer les lettres d’invitation et surtout d’inviter l’ambassadeur de la République Française ou le Directeur de l’Agence Française de développement (AFD).</w:t>
            </w:r>
          </w:p>
          <w:p w:rsidR="00E16364" w:rsidRDefault="00A2131B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lang w:val="fr-FR"/>
              </w:rPr>
            </w:pPr>
            <w:r>
              <w:rPr>
                <w:b/>
                <w:lang w:val="fr-FR"/>
              </w:rPr>
              <w:t>Arrêté comité de suivi évaluation du PGO </w:t>
            </w:r>
            <w:r>
              <w:rPr>
                <w:lang w:val="fr-FR"/>
              </w:rPr>
              <w:t>: Tinto a proposé quelques amendem</w:t>
            </w:r>
            <w:r>
              <w:rPr>
                <w:lang w:val="fr-FR"/>
              </w:rPr>
              <w:t>ents en vue d’améliorer la qualité de l’arrêté.</w:t>
            </w:r>
          </w:p>
          <w:p w:rsidR="00E16364" w:rsidRDefault="00A2131B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lang w:val="fr-FR"/>
              </w:rPr>
            </w:pPr>
            <w:r>
              <w:rPr>
                <w:b/>
                <w:lang w:val="fr-FR"/>
              </w:rPr>
              <w:t>Animation du site Web du PGO :</w:t>
            </w:r>
            <w:r>
              <w:rPr>
                <w:lang w:val="fr-FR"/>
              </w:rPr>
              <w:t xml:space="preserve"> il a été convenu de procéder à la formation de quelques acteurs de l’administration à l’animation du Site web du PGO. Le concepteur du site à savoir LINGANI s’est dit disposé à animer une session de formation à l’endroit de BARRY, Madame DIPAMA ou tout au</w:t>
            </w:r>
            <w:r>
              <w:rPr>
                <w:lang w:val="fr-FR"/>
              </w:rPr>
              <w:t>tre acteur sur l’animation du site Web.</w:t>
            </w:r>
          </w:p>
          <w:p w:rsidR="00E16364" w:rsidRPr="00031B9D" w:rsidRDefault="00A2131B">
            <w:pPr>
              <w:pStyle w:val="Paragraphedeliste"/>
              <w:numPr>
                <w:ilvl w:val="0"/>
                <w:numId w:val="2"/>
              </w:numPr>
              <w:spacing w:after="0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Mail de </w:t>
            </w:r>
            <w:proofErr w:type="spellStart"/>
            <w:r>
              <w:rPr>
                <w:b/>
                <w:lang w:val="fr-FR"/>
              </w:rPr>
              <w:t>Ngom</w:t>
            </w:r>
            <w:proofErr w:type="spellEnd"/>
            <w:r>
              <w:rPr>
                <w:b/>
                <w:lang w:val="fr-FR"/>
              </w:rPr>
              <w:t xml:space="preserve"> sur la baisse du score du Burkina Faso au PGO et la lettre adressée au Ministre de la Fonction publique par le Comité Directeur du PGO : </w:t>
            </w:r>
            <w:r>
              <w:rPr>
                <w:lang w:val="fr-FR"/>
              </w:rPr>
              <w:t xml:space="preserve">Après une lecture du Mail de </w:t>
            </w:r>
            <w:proofErr w:type="spellStart"/>
            <w:r>
              <w:rPr>
                <w:lang w:val="fr-FR"/>
              </w:rPr>
              <w:t>Ngom</w:t>
            </w:r>
            <w:proofErr w:type="spellEnd"/>
            <w:r>
              <w:rPr>
                <w:lang w:val="fr-FR"/>
              </w:rPr>
              <w:t xml:space="preserve"> par Barry, les participants se s</w:t>
            </w:r>
            <w:r>
              <w:rPr>
                <w:lang w:val="fr-FR"/>
              </w:rPr>
              <w:t xml:space="preserve">ont prononcés sur la conduite à tenir.  Pour eux, tout serait lié à la non publication </w:t>
            </w:r>
            <w:r>
              <w:rPr>
                <w:lang w:val="fr-FR"/>
              </w:rPr>
              <w:t xml:space="preserve">a temps </w:t>
            </w:r>
            <w:r>
              <w:rPr>
                <w:lang w:val="fr-FR"/>
              </w:rPr>
              <w:t>du rapport</w:t>
            </w:r>
            <w:r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 xml:space="preserve">d’exécution du budget 2018 </w:t>
            </w:r>
            <w:r>
              <w:rPr>
                <w:lang w:val="fr-FR"/>
              </w:rPr>
              <w:t>par la Cour des comptes</w:t>
            </w:r>
            <w:r>
              <w:rPr>
                <w:lang w:val="fr-FR"/>
              </w:rPr>
              <w:t>.</w:t>
            </w:r>
            <w:r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 xml:space="preserve">Il a été convenu d’entrer en contact avec </w:t>
            </w:r>
            <w:proofErr w:type="spellStart"/>
            <w:r>
              <w:rPr>
                <w:lang w:val="fr-FR"/>
              </w:rPr>
              <w:t>Agnés</w:t>
            </w:r>
            <w:proofErr w:type="spellEnd"/>
            <w:r>
              <w:rPr>
                <w:lang w:val="fr-FR"/>
              </w:rPr>
              <w:t xml:space="preserve"> KABORE du Centre pour la Gouvernance Démocratique (CGD) qui est au cœur de l’opérationnalisation du Budget </w:t>
            </w:r>
            <w:r>
              <w:rPr>
                <w:lang w:val="fr-FR"/>
              </w:rPr>
              <w:t>Ouvert</w:t>
            </w:r>
            <w:r>
              <w:rPr>
                <w:lang w:val="fr-FR"/>
              </w:rPr>
              <w:t xml:space="preserve"> pour mieux comprendre les engagements du Burkina à l’international sur la question. A l</w:t>
            </w:r>
            <w:r>
              <w:rPr>
                <w:lang w:val="fr-FR"/>
              </w:rPr>
              <w:t xml:space="preserve">a suite des échanges avec </w:t>
            </w:r>
            <w:proofErr w:type="spellStart"/>
            <w:r>
              <w:rPr>
                <w:lang w:val="fr-FR"/>
              </w:rPr>
              <w:t>Agnés</w:t>
            </w:r>
            <w:proofErr w:type="spellEnd"/>
            <w:r>
              <w:rPr>
                <w:lang w:val="fr-FR"/>
              </w:rPr>
              <w:t>, l’administration verra les mesures à prendre afin de respecter ses engagements pour améliorer son score.</w:t>
            </w:r>
          </w:p>
          <w:p w:rsidR="00E16364" w:rsidRDefault="00E16364">
            <w:pPr>
              <w:pStyle w:val="Paragraphedeliste"/>
              <w:spacing w:after="0"/>
              <w:jc w:val="both"/>
              <w:rPr>
                <w:b/>
                <w:lang w:val="fr-FR"/>
              </w:rPr>
            </w:pPr>
          </w:p>
          <w:p w:rsidR="00E16364" w:rsidRDefault="00A2131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Divers</w:t>
            </w:r>
          </w:p>
          <w:p w:rsidR="00E16364" w:rsidRDefault="00A2131B">
            <w:pPr>
              <w:spacing w:after="0" w:line="240" w:lineRule="auto"/>
              <w:ind w:left="360"/>
              <w:jc w:val="both"/>
              <w:rPr>
                <w:lang w:val="fr-FR"/>
              </w:rPr>
            </w:pPr>
            <w:r>
              <w:rPr>
                <w:lang w:val="fr-FR"/>
              </w:rPr>
              <w:t>En divers, les informations suivantes ont été partagées. Il s’agit entre autres :</w:t>
            </w:r>
          </w:p>
          <w:p w:rsidR="00E16364" w:rsidRDefault="00A2131B">
            <w:pPr>
              <w:pStyle w:val="Paragraphedeliste"/>
              <w:numPr>
                <w:ilvl w:val="0"/>
                <w:numId w:val="3"/>
              </w:numPr>
              <w:spacing w:after="0"/>
              <w:rPr>
                <w:lang w:val="fr-FR"/>
              </w:rPr>
            </w:pPr>
            <w:r>
              <w:rPr>
                <w:lang w:val="fr-FR"/>
              </w:rPr>
              <w:t>De la création du Site web d</w:t>
            </w:r>
            <w:r>
              <w:rPr>
                <w:lang w:val="fr-FR"/>
              </w:rPr>
              <w:t xml:space="preserve">u PAGOF, </w:t>
            </w:r>
          </w:p>
          <w:p w:rsidR="00E16364" w:rsidRDefault="00A2131B">
            <w:pPr>
              <w:pStyle w:val="Paragraphedeliste"/>
              <w:numPr>
                <w:ilvl w:val="0"/>
                <w:numId w:val="3"/>
              </w:numPr>
              <w:spacing w:after="0"/>
              <w:rPr>
                <w:lang w:val="fr-FR"/>
              </w:rPr>
            </w:pPr>
            <w:r>
              <w:rPr>
                <w:lang w:val="fr-FR"/>
              </w:rPr>
              <w:t>Des Outils de communication à récupérer (le PAGOF a produit 1000 exemplaires du PAN2, 1000 pochettes et 1000 dépliants. Le SP-MABG a été invité à passer chercher ces outils au siège du PAGOF),</w:t>
            </w:r>
          </w:p>
          <w:p w:rsidR="00E16364" w:rsidRDefault="00A2131B">
            <w:pPr>
              <w:pStyle w:val="Paragraphedeliste"/>
              <w:numPr>
                <w:ilvl w:val="0"/>
                <w:numId w:val="3"/>
              </w:numPr>
              <w:spacing w:after="0"/>
              <w:rPr>
                <w:lang w:val="fr-FR"/>
              </w:rPr>
            </w:pPr>
            <w:r>
              <w:rPr>
                <w:lang w:val="fr-FR"/>
              </w:rPr>
              <w:t>Atelier de communication sur la publication des docum</w:t>
            </w:r>
            <w:r>
              <w:rPr>
                <w:lang w:val="fr-FR"/>
              </w:rPr>
              <w:t>ents budgétaires et le civisme fiscal,</w:t>
            </w:r>
          </w:p>
          <w:p w:rsidR="00E16364" w:rsidRDefault="00A2131B">
            <w:pPr>
              <w:pStyle w:val="Paragraphedeliste"/>
              <w:numPr>
                <w:ilvl w:val="0"/>
                <w:numId w:val="3"/>
              </w:numPr>
              <w:spacing w:after="0"/>
              <w:rPr>
                <w:lang w:val="fr-FR"/>
              </w:rPr>
            </w:pPr>
            <w:r>
              <w:rPr>
                <w:lang w:val="fr-FR"/>
              </w:rPr>
              <w:t>Une Capsule vidéo en langue sur le PGO (</w:t>
            </w:r>
            <w:proofErr w:type="spellStart"/>
            <w:r>
              <w:rPr>
                <w:lang w:val="fr-FR"/>
              </w:rPr>
              <w:t>Morré</w:t>
            </w:r>
            <w:proofErr w:type="spellEnd"/>
            <w:r>
              <w:rPr>
                <w:lang w:val="fr-FR"/>
              </w:rPr>
              <w:t xml:space="preserve">, Dioula, </w:t>
            </w:r>
            <w:proofErr w:type="spellStart"/>
            <w:r>
              <w:rPr>
                <w:lang w:val="fr-FR"/>
              </w:rPr>
              <w:t>Fulfuldé</w:t>
            </w:r>
            <w:proofErr w:type="spellEnd"/>
            <w:r>
              <w:rPr>
                <w:lang w:val="fr-FR"/>
              </w:rPr>
              <w:t>) produit par le PAGOF,</w:t>
            </w:r>
          </w:p>
          <w:p w:rsidR="00E16364" w:rsidRDefault="00A2131B">
            <w:pPr>
              <w:pStyle w:val="Paragraphedeliste"/>
              <w:numPr>
                <w:ilvl w:val="0"/>
                <w:numId w:val="3"/>
              </w:numPr>
              <w:spacing w:after="0"/>
              <w:rPr>
                <w:lang w:val="fr-FR"/>
              </w:rPr>
            </w:pPr>
            <w:r>
              <w:rPr>
                <w:lang w:val="fr-FR"/>
              </w:rPr>
              <w:t>La formation sur le suivi-évaluation en cours avec la finalisation des TDR.</w:t>
            </w:r>
          </w:p>
        </w:tc>
      </w:tr>
    </w:tbl>
    <w:p w:rsidR="00E16364" w:rsidRDefault="00E16364">
      <w:pPr>
        <w:rPr>
          <w:rFonts w:ascii="Arial" w:hAnsi="Arial" w:cs="Arial"/>
          <w:sz w:val="24"/>
          <w:szCs w:val="24"/>
          <w:lang w:val="fr-FR"/>
        </w:rPr>
      </w:pPr>
    </w:p>
    <w:p w:rsidR="00E16364" w:rsidRDefault="00A2131B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                                          </w:t>
      </w:r>
    </w:p>
    <w:p w:rsidR="00E16364" w:rsidRPr="00031B9D" w:rsidRDefault="00A2131B">
      <w:pPr>
        <w:rPr>
          <w:rFonts w:ascii="Arial" w:hAnsi="Arial" w:cs="Arial"/>
          <w:b/>
          <w:sz w:val="20"/>
          <w:szCs w:val="20"/>
          <w:u w:val="single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                                                      </w:t>
      </w:r>
      <w:r w:rsidR="00031B9D">
        <w:rPr>
          <w:rFonts w:ascii="Arial" w:hAnsi="Arial" w:cs="Arial"/>
          <w:sz w:val="20"/>
          <w:szCs w:val="20"/>
          <w:lang w:val="fr-FR"/>
        </w:rPr>
        <w:t xml:space="preserve">           </w:t>
      </w:r>
      <w:r>
        <w:rPr>
          <w:rFonts w:ascii="Arial" w:hAnsi="Arial" w:cs="Arial"/>
          <w:sz w:val="20"/>
          <w:szCs w:val="20"/>
          <w:lang w:val="fr-FR"/>
        </w:rPr>
        <w:t xml:space="preserve"> </w:t>
      </w:r>
      <w:r w:rsidR="00031B9D">
        <w:rPr>
          <w:rFonts w:ascii="Arial" w:hAnsi="Arial" w:cs="Arial"/>
          <w:sz w:val="20"/>
          <w:szCs w:val="20"/>
          <w:lang w:val="fr-FR"/>
        </w:rPr>
        <w:t xml:space="preserve">    </w:t>
      </w:r>
      <w:r w:rsidR="00031B9D" w:rsidRPr="00031B9D">
        <w:rPr>
          <w:rFonts w:ascii="Arial" w:hAnsi="Arial" w:cs="Arial"/>
          <w:b/>
          <w:sz w:val="20"/>
          <w:szCs w:val="20"/>
          <w:u w:val="single"/>
          <w:lang w:val="fr-FR"/>
        </w:rPr>
        <w:t>Rapporteur</w:t>
      </w:r>
    </w:p>
    <w:p w:rsidR="00E16364" w:rsidRPr="00031B9D" w:rsidRDefault="00A2131B">
      <w:pPr>
        <w:jc w:val="right"/>
        <w:rPr>
          <w:rFonts w:ascii="Arial" w:hAnsi="Arial" w:cs="Arial"/>
          <w:b/>
          <w:i/>
          <w:sz w:val="24"/>
          <w:szCs w:val="24"/>
          <w:u w:val="single"/>
          <w:lang w:val="fr-FR"/>
        </w:rPr>
      </w:pPr>
      <w:r w:rsidRPr="00031B9D">
        <w:rPr>
          <w:rFonts w:ascii="Arial" w:hAnsi="Arial" w:cs="Arial"/>
          <w:b/>
          <w:i/>
          <w:sz w:val="24"/>
          <w:szCs w:val="24"/>
          <w:u w:val="single"/>
          <w:lang w:val="fr-FR"/>
        </w:rPr>
        <w:t>BARRY Sidi</w:t>
      </w:r>
    </w:p>
    <w:p w:rsidR="00E16364" w:rsidRDefault="00A2131B">
      <w:pPr>
        <w:jc w:val="center"/>
        <w:rPr>
          <w:rFonts w:ascii="Garamond" w:hAnsi="Garamond" w:cs="Arial"/>
          <w:sz w:val="20"/>
          <w:szCs w:val="20"/>
          <w:lang w:val="fr-FR"/>
        </w:rPr>
      </w:pPr>
      <w:r>
        <w:rPr>
          <w:rFonts w:ascii="Garamond" w:hAnsi="Garamond" w:cs="Arial"/>
          <w:sz w:val="20"/>
          <w:szCs w:val="20"/>
          <w:lang w:val="fr-FR"/>
        </w:rPr>
        <w:t xml:space="preserve">                                                                                                                     </w:t>
      </w:r>
    </w:p>
    <w:p w:rsidR="00E16364" w:rsidRDefault="00E16364"/>
    <w:sectPr w:rsidR="00E16364">
      <w:footerReference w:type="default" r:id="rId8"/>
      <w:pgSz w:w="11906" w:h="16838"/>
      <w:pgMar w:top="567" w:right="1440" w:bottom="777" w:left="144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1B" w:rsidRDefault="00A2131B">
      <w:pPr>
        <w:spacing w:after="0" w:line="240" w:lineRule="auto"/>
      </w:pPr>
      <w:r>
        <w:separator/>
      </w:r>
    </w:p>
  </w:endnote>
  <w:endnote w:type="continuationSeparator" w:id="0">
    <w:p w:rsidR="00A2131B" w:rsidRDefault="00A2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95407"/>
      <w:docPartObj>
        <w:docPartGallery w:val="Page Numbers (Bottom of Page)"/>
        <w:docPartUnique/>
      </w:docPartObj>
    </w:sdtPr>
    <w:sdtEndPr/>
    <w:sdtContent>
      <w:p w:rsidR="00E16364" w:rsidRDefault="00A2131B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2332B">
          <w:rPr>
            <w:noProof/>
          </w:rPr>
          <w:t>2</w:t>
        </w:r>
        <w:r>
          <w:fldChar w:fldCharType="end"/>
        </w:r>
      </w:p>
    </w:sdtContent>
  </w:sdt>
  <w:p w:rsidR="00E16364" w:rsidRDefault="00E16364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1B" w:rsidRDefault="00A2131B">
      <w:pPr>
        <w:spacing w:after="0" w:line="240" w:lineRule="auto"/>
      </w:pPr>
      <w:r>
        <w:separator/>
      </w:r>
    </w:p>
  </w:footnote>
  <w:footnote w:type="continuationSeparator" w:id="0">
    <w:p w:rsidR="00A2131B" w:rsidRDefault="00A21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577AD"/>
    <w:multiLevelType w:val="multilevel"/>
    <w:tmpl w:val="109CA8AC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7D5D"/>
    <w:multiLevelType w:val="multilevel"/>
    <w:tmpl w:val="486A6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E0030B"/>
    <w:multiLevelType w:val="multilevel"/>
    <w:tmpl w:val="CE36A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574335"/>
    <w:multiLevelType w:val="multilevel"/>
    <w:tmpl w:val="06C29E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97AEF"/>
    <w:multiLevelType w:val="multilevel"/>
    <w:tmpl w:val="FCFAC5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64"/>
    <w:rsid w:val="00031B9D"/>
    <w:rsid w:val="0052332B"/>
    <w:rsid w:val="00A2131B"/>
    <w:rsid w:val="00E16364"/>
    <w:rsid w:val="00E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9C29"/>
  <w15:docId w15:val="{2F0631EF-D1C5-468B-9539-F2BC06CC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2CF"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FD22CF"/>
    <w:rPr>
      <w:lang w:val="en-GB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ascii="Arial" w:eastAsia="Noto Sans CJK SC" w:hAnsi="Arial"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eastAsia="Times New Roman" w:hAnsi="Arial"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eastAsia="Noto Sans CJK SC" w:hAnsi="Arial" w:cs="Lohit Devanagari"/>
    </w:rPr>
  </w:style>
  <w:style w:type="paragraph" w:styleId="Pieddepage">
    <w:name w:val="footer"/>
    <w:basedOn w:val="Normal"/>
    <w:link w:val="PieddepageCar"/>
    <w:uiPriority w:val="99"/>
    <w:unhideWhenUsed/>
    <w:rsid w:val="00FD22CF"/>
    <w:pPr>
      <w:tabs>
        <w:tab w:val="center" w:pos="4320"/>
        <w:tab w:val="right" w:pos="864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22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FD22CF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B9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HP</cp:lastModifiedBy>
  <cp:revision>4</cp:revision>
  <dcterms:created xsi:type="dcterms:W3CDTF">2020-11-28T00:38:00Z</dcterms:created>
  <dcterms:modified xsi:type="dcterms:W3CDTF">2020-11-28T00:38:00Z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